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4F" w:rsidRPr="00B57F87" w:rsidRDefault="00233E4F" w:rsidP="00B57F87">
      <w:pPr>
        <w:spacing w:after="0" w:line="360" w:lineRule="auto"/>
        <w:jc w:val="both"/>
        <w:rPr>
          <w:rFonts w:ascii="Tahoma" w:hAnsi="Tahoma" w:cs="Tahoma"/>
          <w:sz w:val="24"/>
          <w:szCs w:val="24"/>
          <w:lang w:val="en-US"/>
        </w:rPr>
      </w:pPr>
      <w:r w:rsidRPr="00B57F87">
        <w:rPr>
          <w:rFonts w:ascii="Tahoma" w:hAnsi="Tahoma" w:cs="Tahoma"/>
          <w:b/>
          <w:bCs/>
          <w:sz w:val="24"/>
          <w:szCs w:val="24"/>
          <w:lang w:val="en-US"/>
        </w:rPr>
        <w:t xml:space="preserve">Equal pay for work of Equal value in terms of the Employment Equity Act 55 of 1998: Lessons from the International </w:t>
      </w:r>
      <w:proofErr w:type="spellStart"/>
      <w:r w:rsidRPr="00B57F87">
        <w:rPr>
          <w:rFonts w:ascii="Tahoma" w:hAnsi="Tahoma" w:cs="Tahoma"/>
          <w:b/>
          <w:bCs/>
          <w:sz w:val="24"/>
          <w:szCs w:val="24"/>
          <w:lang w:val="en-US"/>
        </w:rPr>
        <w:t>Labour</w:t>
      </w:r>
      <w:proofErr w:type="spellEnd"/>
      <w:r w:rsidRPr="00B57F87">
        <w:rPr>
          <w:rFonts w:ascii="Tahoma" w:hAnsi="Tahoma" w:cs="Tahoma"/>
          <w:b/>
          <w:bCs/>
          <w:sz w:val="24"/>
          <w:szCs w:val="24"/>
          <w:lang w:val="en-US"/>
        </w:rPr>
        <w:t xml:space="preserve"> </w:t>
      </w:r>
      <w:proofErr w:type="spellStart"/>
      <w:r w:rsidRPr="00B57F87">
        <w:rPr>
          <w:rFonts w:ascii="Tahoma" w:hAnsi="Tahoma" w:cs="Tahoma"/>
          <w:b/>
          <w:bCs/>
          <w:sz w:val="24"/>
          <w:szCs w:val="24"/>
          <w:lang w:val="en-US"/>
        </w:rPr>
        <w:t>Organisation</w:t>
      </w:r>
      <w:proofErr w:type="spellEnd"/>
      <w:r w:rsidRPr="00B57F87">
        <w:rPr>
          <w:rFonts w:ascii="Tahoma" w:hAnsi="Tahoma" w:cs="Tahoma"/>
          <w:b/>
          <w:bCs/>
          <w:sz w:val="24"/>
          <w:szCs w:val="24"/>
          <w:lang w:val="en-US"/>
        </w:rPr>
        <w:t xml:space="preserve"> and the United Kingdom</w:t>
      </w:r>
      <w:r w:rsidRPr="00B57F87">
        <w:rPr>
          <w:rStyle w:val="FootnoteReference"/>
          <w:rFonts w:ascii="Tahoma" w:hAnsi="Tahoma" w:cs="Tahoma"/>
          <w:sz w:val="24"/>
          <w:szCs w:val="24"/>
          <w:lang w:val="en-US"/>
        </w:rPr>
        <w:footnoteReference w:customMarkFollows="1" w:id="1"/>
        <w:sym w:font="Symbol" w:char="F02A"/>
      </w:r>
    </w:p>
    <w:p w:rsidR="00233E4F" w:rsidRPr="00B57F87" w:rsidRDefault="00233E4F" w:rsidP="00B57F87">
      <w:pPr>
        <w:spacing w:after="0" w:line="360" w:lineRule="auto"/>
        <w:jc w:val="right"/>
        <w:rPr>
          <w:rFonts w:ascii="Tahoma" w:hAnsi="Tahoma" w:cs="Tahoma"/>
          <w:b/>
          <w:bCs/>
          <w:color w:val="FF0000"/>
          <w:sz w:val="24"/>
          <w:szCs w:val="24"/>
          <w:lang w:val="en-US"/>
        </w:rPr>
      </w:pPr>
      <w:r w:rsidRPr="00B57F87">
        <w:rPr>
          <w:rStyle w:val="FootnoteReference"/>
          <w:rFonts w:ascii="Tahoma" w:hAnsi="Tahoma" w:cs="Tahoma"/>
          <w:b/>
          <w:bCs/>
          <w:sz w:val="24"/>
          <w:szCs w:val="24"/>
          <w:lang w:val="en-US"/>
        </w:rPr>
        <w:footnoteReference w:customMarkFollows="1" w:id="2"/>
        <w:sym w:font="Symbol" w:char="F02A"/>
      </w:r>
      <w:r w:rsidRPr="00B57F87">
        <w:rPr>
          <w:rStyle w:val="FootnoteReference"/>
          <w:rFonts w:ascii="Tahoma" w:hAnsi="Tahoma" w:cs="Tahoma"/>
          <w:b/>
          <w:bCs/>
          <w:sz w:val="24"/>
          <w:szCs w:val="24"/>
          <w:lang w:val="en-US"/>
        </w:rPr>
        <w:sym w:font="Symbol" w:char="F02A"/>
      </w:r>
      <w:r w:rsidRPr="00B57F87">
        <w:rPr>
          <w:rFonts w:ascii="Tahoma" w:hAnsi="Tahoma" w:cs="Tahoma"/>
          <w:b/>
          <w:bCs/>
          <w:sz w:val="24"/>
          <w:szCs w:val="24"/>
          <w:lang w:val="en-US"/>
        </w:rPr>
        <w:t xml:space="preserve"> </w:t>
      </w:r>
    </w:p>
    <w:p w:rsidR="00603D24" w:rsidRPr="00B57F87" w:rsidRDefault="00603D24" w:rsidP="00B57F87">
      <w:pPr>
        <w:spacing w:after="0" w:line="360" w:lineRule="auto"/>
        <w:jc w:val="both"/>
        <w:rPr>
          <w:rFonts w:ascii="Tahoma" w:hAnsi="Tahoma" w:cs="Tahoma"/>
          <w:b/>
          <w:bCs/>
          <w:sz w:val="24"/>
          <w:szCs w:val="24"/>
          <w:lang w:val="en-US"/>
        </w:rPr>
      </w:pPr>
    </w:p>
    <w:p w:rsidR="00603D24" w:rsidRPr="00B57F87" w:rsidRDefault="00603D24" w:rsidP="00B57F87">
      <w:pPr>
        <w:spacing w:after="0" w:line="360" w:lineRule="auto"/>
        <w:jc w:val="both"/>
        <w:rPr>
          <w:rFonts w:ascii="Tahoma" w:hAnsi="Tahoma" w:cs="Tahoma"/>
          <w:b/>
          <w:bCs/>
          <w:sz w:val="24"/>
          <w:szCs w:val="24"/>
          <w:lang w:val="en-US"/>
        </w:rPr>
      </w:pPr>
      <w:r w:rsidRPr="00B57F87">
        <w:rPr>
          <w:rFonts w:ascii="Tahoma" w:hAnsi="Tahoma" w:cs="Tahoma"/>
          <w:b/>
          <w:bCs/>
          <w:sz w:val="24"/>
          <w:szCs w:val="24"/>
          <w:lang w:val="en-US"/>
        </w:rPr>
        <w:t xml:space="preserve">SUMMARY </w:t>
      </w:r>
    </w:p>
    <w:p w:rsidR="00603D24" w:rsidRPr="00B57F87" w:rsidRDefault="00603D24" w:rsidP="00B57F87">
      <w:pPr>
        <w:spacing w:after="0" w:line="360" w:lineRule="auto"/>
        <w:jc w:val="both"/>
        <w:rPr>
          <w:rFonts w:ascii="Tahoma" w:hAnsi="Tahoma" w:cs="Tahoma"/>
          <w:b/>
          <w:bCs/>
          <w:sz w:val="24"/>
          <w:szCs w:val="24"/>
          <w:lang w:val="en-US"/>
        </w:rPr>
      </w:pPr>
    </w:p>
    <w:p w:rsidR="00233E4F" w:rsidRPr="00B57F87" w:rsidRDefault="00233E4F" w:rsidP="00B57F87">
      <w:pPr>
        <w:spacing w:after="0" w:line="360" w:lineRule="auto"/>
        <w:jc w:val="both"/>
        <w:rPr>
          <w:rFonts w:ascii="Tahoma" w:hAnsi="Tahoma" w:cs="Tahoma"/>
          <w:sz w:val="24"/>
          <w:szCs w:val="24"/>
        </w:rPr>
      </w:pPr>
      <w:r w:rsidRPr="00B57F87">
        <w:rPr>
          <w:rFonts w:ascii="Tahoma" w:hAnsi="Tahoma" w:cs="Tahoma"/>
          <w:sz w:val="24"/>
          <w:szCs w:val="24"/>
          <w:lang w:val="en-US"/>
        </w:rPr>
        <w:t>Equal pay is an area of employment law that is complex and not easily understood.</w:t>
      </w:r>
      <w:r w:rsidRPr="00B57F87">
        <w:rPr>
          <w:rFonts w:ascii="Tahoma" w:hAnsi="Tahoma" w:cs="Tahoma"/>
          <w:sz w:val="24"/>
          <w:szCs w:val="24"/>
          <w:lang w:val="en-US" w:bidi="ar-SA"/>
        </w:rPr>
        <w:t xml:space="preserve"> </w:t>
      </w:r>
      <w:r w:rsidRPr="00B57F87">
        <w:rPr>
          <w:rFonts w:ascii="Tahoma" w:hAnsi="Tahoma" w:cs="Tahoma"/>
          <w:sz w:val="24"/>
          <w:szCs w:val="24"/>
          <w:lang w:val="en-US"/>
        </w:rPr>
        <w:t xml:space="preserve">This complexity is </w:t>
      </w:r>
      <w:proofErr w:type="spellStart"/>
      <w:r w:rsidRPr="00B57F87">
        <w:rPr>
          <w:rFonts w:ascii="Tahoma" w:hAnsi="Tahoma" w:cs="Tahoma"/>
          <w:sz w:val="24"/>
          <w:szCs w:val="24"/>
          <w:lang w:val="en-US"/>
        </w:rPr>
        <w:t>recognised</w:t>
      </w:r>
      <w:proofErr w:type="spellEnd"/>
      <w:r w:rsidRPr="00B57F87">
        <w:rPr>
          <w:rFonts w:ascii="Tahoma" w:hAnsi="Tahoma" w:cs="Tahoma"/>
          <w:sz w:val="24"/>
          <w:szCs w:val="24"/>
          <w:lang w:val="en-US"/>
        </w:rPr>
        <w:t xml:space="preserve"> by the </w:t>
      </w:r>
      <w:r w:rsidR="00F0734C" w:rsidRPr="00B57F87">
        <w:rPr>
          <w:rFonts w:ascii="Tahoma" w:hAnsi="Tahoma" w:cs="Tahoma"/>
          <w:sz w:val="24"/>
          <w:szCs w:val="24"/>
          <w:lang w:val="en-US"/>
        </w:rPr>
        <w:t xml:space="preserve">International </w:t>
      </w:r>
      <w:proofErr w:type="spellStart"/>
      <w:r w:rsidR="00F0734C" w:rsidRPr="00B57F87">
        <w:rPr>
          <w:rFonts w:ascii="Tahoma" w:hAnsi="Tahoma" w:cs="Tahoma"/>
          <w:sz w:val="24"/>
          <w:szCs w:val="24"/>
          <w:lang w:val="en-US"/>
        </w:rPr>
        <w:t>Labour</w:t>
      </w:r>
      <w:proofErr w:type="spellEnd"/>
      <w:r w:rsidR="00F0734C" w:rsidRPr="00B57F87">
        <w:rPr>
          <w:rFonts w:ascii="Tahoma" w:hAnsi="Tahoma" w:cs="Tahoma"/>
          <w:sz w:val="24"/>
          <w:szCs w:val="24"/>
          <w:lang w:val="en-US"/>
        </w:rPr>
        <w:t xml:space="preserve"> </w:t>
      </w:r>
      <w:proofErr w:type="spellStart"/>
      <w:r w:rsidR="00F0734C" w:rsidRPr="00B57F87">
        <w:rPr>
          <w:rFonts w:ascii="Tahoma" w:hAnsi="Tahoma" w:cs="Tahoma"/>
          <w:sz w:val="24"/>
          <w:szCs w:val="24"/>
          <w:lang w:val="en-US"/>
        </w:rPr>
        <w:t>Organisation</w:t>
      </w:r>
      <w:proofErr w:type="spellEnd"/>
      <w:r w:rsidR="00603D24" w:rsidRPr="00B57F87">
        <w:rPr>
          <w:rStyle w:val="FootnoteReference"/>
          <w:rFonts w:ascii="Tahoma" w:hAnsi="Tahoma" w:cs="Tahoma"/>
          <w:sz w:val="24"/>
          <w:szCs w:val="24"/>
          <w:lang w:val="en-US"/>
        </w:rPr>
        <w:footnoteReference w:id="3"/>
      </w:r>
      <w:r w:rsidRPr="00B57F87">
        <w:rPr>
          <w:rFonts w:ascii="Tahoma" w:hAnsi="Tahoma" w:cs="Tahoma"/>
          <w:sz w:val="24"/>
          <w:szCs w:val="24"/>
          <w:lang w:val="en-US"/>
        </w:rPr>
        <w:t>, which notes, that equal pay for work of equal value has proved to be difficult to understand, both with regard to what it entails and in its application.</w:t>
      </w:r>
      <w:r w:rsidRPr="00B57F87">
        <w:rPr>
          <w:rStyle w:val="FootnoteReference"/>
          <w:rFonts w:ascii="Tahoma" w:hAnsi="Tahoma" w:cs="Tahoma"/>
          <w:sz w:val="24"/>
          <w:szCs w:val="24"/>
          <w:lang w:val="en-US"/>
        </w:rPr>
        <w:footnoteReference w:id="4"/>
      </w:r>
      <w:r w:rsidRPr="00B57F87">
        <w:rPr>
          <w:rFonts w:ascii="Tahoma" w:hAnsi="Tahoma" w:cs="Tahoma"/>
          <w:sz w:val="24"/>
          <w:szCs w:val="24"/>
          <w:lang w:val="en-US"/>
        </w:rPr>
        <w:t xml:space="preserve"> Amendments have been made to the </w:t>
      </w:r>
      <w:r w:rsidRPr="006715A5">
        <w:rPr>
          <w:rFonts w:ascii="Tahoma" w:hAnsi="Tahoma" w:cs="Tahoma"/>
          <w:i/>
          <w:iCs/>
          <w:sz w:val="24"/>
          <w:szCs w:val="24"/>
          <w:lang w:val="en-US"/>
        </w:rPr>
        <w:t>Employment Equity Act</w:t>
      </w:r>
      <w:r w:rsidRPr="00B57F87">
        <w:rPr>
          <w:rStyle w:val="FootnoteReference"/>
          <w:rFonts w:ascii="Tahoma" w:hAnsi="Tahoma" w:cs="Tahoma"/>
          <w:sz w:val="24"/>
          <w:szCs w:val="24"/>
          <w:lang w:val="en-US"/>
        </w:rPr>
        <w:footnoteReference w:id="5"/>
      </w:r>
      <w:r w:rsidRPr="00B57F87">
        <w:rPr>
          <w:rFonts w:ascii="Tahoma" w:hAnsi="Tahoma" w:cs="Tahoma"/>
          <w:sz w:val="24"/>
          <w:szCs w:val="24"/>
          <w:lang w:val="en-US"/>
        </w:rPr>
        <w:t xml:space="preserve"> to include a specific provision to regulate equal pay claims in the form of section 6(4)-(5) of the EEA. The amendments were made in terms of the </w:t>
      </w:r>
      <w:r w:rsidRPr="006715A5">
        <w:rPr>
          <w:rFonts w:ascii="Tahoma" w:hAnsi="Tahoma" w:cs="Tahoma"/>
          <w:i/>
          <w:iCs/>
          <w:sz w:val="24"/>
          <w:szCs w:val="24"/>
          <w:lang w:val="en-US"/>
        </w:rPr>
        <w:t>Employment Equity Amendment Act</w:t>
      </w:r>
      <w:r w:rsidRPr="00B57F87">
        <w:rPr>
          <w:rFonts w:ascii="Tahoma" w:hAnsi="Tahoma" w:cs="Tahoma"/>
          <w:sz w:val="24"/>
          <w:szCs w:val="24"/>
          <w:lang w:val="en-US"/>
        </w:rPr>
        <w:t xml:space="preserve"> 47 of 2013 which came into effect on 1 August 2014 by presidential proclamation.</w:t>
      </w:r>
      <w:r w:rsidRPr="00B57F87">
        <w:rPr>
          <w:rStyle w:val="FootnoteReference"/>
          <w:rFonts w:ascii="Tahoma" w:hAnsi="Tahoma" w:cs="Tahoma"/>
          <w:sz w:val="24"/>
          <w:szCs w:val="24"/>
          <w:lang w:val="en-US"/>
        </w:rPr>
        <w:footnoteReference w:id="6"/>
      </w:r>
      <w:r w:rsidR="00F91BA9" w:rsidRPr="00B57F87">
        <w:rPr>
          <w:rFonts w:ascii="Tahoma" w:hAnsi="Tahoma" w:cs="Tahoma"/>
          <w:sz w:val="24"/>
          <w:szCs w:val="24"/>
          <w:lang w:val="en-US"/>
        </w:rPr>
        <w:t xml:space="preserve"> </w:t>
      </w:r>
      <w:r w:rsidRPr="00B57F87">
        <w:rPr>
          <w:rFonts w:ascii="Tahoma" w:hAnsi="Tahoma" w:cs="Tahoma"/>
          <w:sz w:val="24"/>
          <w:szCs w:val="24"/>
          <w:lang w:val="en-US"/>
        </w:rPr>
        <w:t xml:space="preserve">Prior to section 6(4), the EEA did not contain a specific provision regulating equal pay claims. Claims could be brought in terms of section 6(1) of the EEA which prohibits unfair discrimination on a number of grounds. The recent amendments to the EEA in the form of section 6(4)-(5) (including the </w:t>
      </w:r>
      <w:r w:rsidR="00603D24" w:rsidRPr="00B57F87">
        <w:rPr>
          <w:rFonts w:ascii="Tahoma" w:hAnsi="Tahoma" w:cs="Tahoma"/>
          <w:sz w:val="24"/>
          <w:szCs w:val="24"/>
          <w:lang w:val="en-US"/>
        </w:rPr>
        <w:t xml:space="preserve">Employment Equity </w:t>
      </w:r>
      <w:r w:rsidRPr="00B57F87">
        <w:rPr>
          <w:rFonts w:ascii="Tahoma" w:hAnsi="Tahoma" w:cs="Tahoma"/>
          <w:sz w:val="24"/>
          <w:szCs w:val="24"/>
          <w:lang w:val="en-US"/>
        </w:rPr>
        <w:t>Regulations and the Code</w:t>
      </w:r>
      <w:r w:rsidR="00603D24" w:rsidRPr="00B57F87">
        <w:rPr>
          <w:rFonts w:ascii="Tahoma" w:hAnsi="Tahoma" w:cs="Tahoma"/>
          <w:sz w:val="24"/>
          <w:szCs w:val="24"/>
          <w:lang w:val="en-US"/>
        </w:rPr>
        <w:t xml:space="preserve"> of Good Practice on Equal Pay for Work of Equal Value</w:t>
      </w:r>
      <w:r w:rsidRPr="00B57F87">
        <w:rPr>
          <w:rFonts w:ascii="Tahoma" w:hAnsi="Tahoma" w:cs="Tahoma"/>
          <w:sz w:val="24"/>
          <w:szCs w:val="24"/>
          <w:lang w:val="en-US"/>
        </w:rPr>
        <w:t xml:space="preserve">), in respect of equal pay claims, is a response to </w:t>
      </w:r>
      <w:r w:rsidR="00603D24" w:rsidRPr="00B57F87">
        <w:rPr>
          <w:rFonts w:ascii="Tahoma" w:hAnsi="Tahoma" w:cs="Tahoma"/>
          <w:sz w:val="24"/>
          <w:szCs w:val="24"/>
          <w:lang w:val="en-US"/>
        </w:rPr>
        <w:t>the ILO</w:t>
      </w:r>
      <w:r w:rsidRPr="00B57F87">
        <w:rPr>
          <w:rFonts w:ascii="Tahoma" w:hAnsi="Tahoma" w:cs="Tahoma"/>
          <w:sz w:val="24"/>
          <w:szCs w:val="24"/>
          <w:lang w:val="en-US"/>
        </w:rPr>
        <w:t xml:space="preserve"> criticism of South Africa’s failure to include specific equal pay provisions in the EEA.</w:t>
      </w:r>
      <w:r w:rsidRPr="00B57F87">
        <w:rPr>
          <w:rStyle w:val="FootnoteReference"/>
          <w:rFonts w:ascii="Tahoma" w:hAnsi="Tahoma" w:cs="Tahoma"/>
          <w:sz w:val="24"/>
          <w:szCs w:val="24"/>
          <w:lang w:val="en-US"/>
        </w:rPr>
        <w:footnoteReference w:id="7"/>
      </w:r>
      <w:r w:rsidRPr="00B57F87">
        <w:rPr>
          <w:rFonts w:ascii="Tahoma" w:hAnsi="Tahoma" w:cs="Tahoma"/>
          <w:sz w:val="24"/>
          <w:szCs w:val="24"/>
          <w:lang w:val="en-US"/>
        </w:rPr>
        <w:t xml:space="preserve"> </w:t>
      </w:r>
    </w:p>
    <w:p w:rsidR="00233E4F" w:rsidRPr="00B57F87" w:rsidRDefault="00233E4F" w:rsidP="00B57F87">
      <w:pPr>
        <w:spacing w:after="0" w:line="360" w:lineRule="auto"/>
        <w:jc w:val="both"/>
        <w:rPr>
          <w:rFonts w:ascii="Tahoma" w:hAnsi="Tahoma" w:cs="Tahoma"/>
          <w:b/>
          <w:bCs/>
          <w:sz w:val="24"/>
          <w:szCs w:val="24"/>
        </w:rPr>
      </w:pPr>
    </w:p>
    <w:p w:rsidR="00233E4F" w:rsidRPr="00B57F87" w:rsidRDefault="00233E4F" w:rsidP="00B57F87">
      <w:pPr>
        <w:spacing w:after="0" w:line="360" w:lineRule="auto"/>
        <w:jc w:val="both"/>
        <w:rPr>
          <w:rFonts w:ascii="Tahoma" w:hAnsi="Tahoma" w:cs="Tahoma"/>
          <w:sz w:val="24"/>
          <w:szCs w:val="24"/>
          <w:lang w:val="en-US"/>
        </w:rPr>
      </w:pPr>
      <w:r w:rsidRPr="00B57F87">
        <w:rPr>
          <w:rFonts w:ascii="Tahoma" w:hAnsi="Tahoma" w:cs="Tahoma"/>
          <w:sz w:val="24"/>
          <w:szCs w:val="24"/>
          <w:lang w:val="en-US"/>
        </w:rPr>
        <w:lastRenderedPageBreak/>
        <w:t xml:space="preserve">Section 6(4) of the EEA provides for three causes of action in respect of equal pay. They are as follows: (a) equal pay for the same work; (b) equal pay for substantially the same work; and (c) equal pay for work of equal value. The first two causes of action are not difficult to understand as opposed to the third cause of action which is complex. The ILO has </w:t>
      </w:r>
      <w:proofErr w:type="spellStart"/>
      <w:r w:rsidRPr="00B57F87">
        <w:rPr>
          <w:rFonts w:ascii="Tahoma" w:hAnsi="Tahoma" w:cs="Tahoma"/>
          <w:sz w:val="24"/>
          <w:szCs w:val="24"/>
          <w:lang w:val="en-US"/>
        </w:rPr>
        <w:t>recognised</w:t>
      </w:r>
      <w:proofErr w:type="spellEnd"/>
      <w:r w:rsidRPr="00B57F87">
        <w:rPr>
          <w:rFonts w:ascii="Tahoma" w:hAnsi="Tahoma" w:cs="Tahoma"/>
          <w:sz w:val="24"/>
          <w:szCs w:val="24"/>
          <w:lang w:val="en-US"/>
        </w:rPr>
        <w:t xml:space="preserve"> the complexity of the third cause of action “equal pay for work of equal value”.</w:t>
      </w:r>
      <w:r w:rsidRPr="00B57F87">
        <w:rPr>
          <w:rStyle w:val="FootnoteReference"/>
          <w:rFonts w:ascii="Tahoma" w:hAnsi="Tahoma" w:cs="Tahoma"/>
          <w:sz w:val="24"/>
          <w:szCs w:val="24"/>
          <w:lang w:val="en-US"/>
        </w:rPr>
        <w:footnoteReference w:id="8"/>
      </w:r>
      <w:r w:rsidRPr="00B57F87">
        <w:rPr>
          <w:rFonts w:ascii="Tahoma" w:hAnsi="Tahoma" w:cs="Tahoma"/>
          <w:sz w:val="24"/>
          <w:szCs w:val="24"/>
          <w:lang w:val="en-US"/>
        </w:rPr>
        <w:t xml:space="preserve"> In </w:t>
      </w:r>
      <w:proofErr w:type="spellStart"/>
      <w:r w:rsidRPr="00B57F87">
        <w:rPr>
          <w:rFonts w:ascii="Tahoma" w:hAnsi="Tahoma" w:cs="Tahoma"/>
          <w:i/>
          <w:iCs/>
          <w:sz w:val="24"/>
          <w:szCs w:val="24"/>
          <w:lang w:val="en-US"/>
        </w:rPr>
        <w:t>Mangena</w:t>
      </w:r>
      <w:proofErr w:type="spellEnd"/>
      <w:r w:rsidRPr="00B57F87">
        <w:rPr>
          <w:rFonts w:ascii="Tahoma" w:hAnsi="Tahoma" w:cs="Tahoma"/>
          <w:i/>
          <w:iCs/>
          <w:sz w:val="24"/>
          <w:szCs w:val="24"/>
          <w:lang w:val="en-US"/>
        </w:rPr>
        <w:t xml:space="preserve"> v Fila South Africa</w:t>
      </w:r>
      <w:r w:rsidRPr="00B57F87">
        <w:rPr>
          <w:rStyle w:val="FootnoteReference"/>
          <w:rFonts w:ascii="Tahoma" w:hAnsi="Tahoma" w:cs="Tahoma"/>
          <w:sz w:val="24"/>
          <w:szCs w:val="24"/>
          <w:lang w:val="en-US"/>
        </w:rPr>
        <w:footnoteReference w:id="9"/>
      </w:r>
      <w:r w:rsidRPr="00B57F87">
        <w:rPr>
          <w:rFonts w:ascii="Tahoma" w:hAnsi="Tahoma" w:cs="Tahoma"/>
          <w:sz w:val="24"/>
          <w:szCs w:val="24"/>
          <w:lang w:val="en-US"/>
        </w:rPr>
        <w:t xml:space="preserve">, the </w:t>
      </w:r>
      <w:proofErr w:type="spellStart"/>
      <w:r w:rsidRPr="00B57F87">
        <w:rPr>
          <w:rFonts w:ascii="Tahoma" w:hAnsi="Tahoma" w:cs="Tahoma"/>
          <w:sz w:val="24"/>
          <w:szCs w:val="24"/>
          <w:lang w:val="en-US"/>
        </w:rPr>
        <w:t>Labour</w:t>
      </w:r>
      <w:proofErr w:type="spellEnd"/>
      <w:r w:rsidRPr="00B57F87">
        <w:rPr>
          <w:rFonts w:ascii="Tahoma" w:hAnsi="Tahoma" w:cs="Tahoma"/>
          <w:sz w:val="24"/>
          <w:szCs w:val="24"/>
          <w:lang w:val="en-US"/>
        </w:rPr>
        <w:t xml:space="preserve"> Court remarked in the context of an equal pay for work of equal value claim, that it does not have expertise in job grading and in the allocation of value to particular occupations. This article will only deal with the third cause of action “equal pay for work of equal value”. </w:t>
      </w:r>
    </w:p>
    <w:p w:rsidR="00F91BA9" w:rsidRPr="00B57F87" w:rsidRDefault="00F91BA9" w:rsidP="00B57F87">
      <w:pPr>
        <w:spacing w:after="0" w:line="360" w:lineRule="auto"/>
        <w:jc w:val="both"/>
        <w:rPr>
          <w:rFonts w:ascii="Tahoma" w:hAnsi="Tahoma" w:cs="Tahoma"/>
          <w:sz w:val="24"/>
          <w:szCs w:val="24"/>
          <w:lang w:val="en-US"/>
        </w:rPr>
      </w:pPr>
    </w:p>
    <w:p w:rsidR="00233E4F" w:rsidRPr="00B57F87" w:rsidRDefault="00F91BA9" w:rsidP="00B57F87">
      <w:pPr>
        <w:spacing w:after="0" w:line="360" w:lineRule="auto"/>
        <w:jc w:val="both"/>
        <w:rPr>
          <w:rFonts w:ascii="Tahoma" w:hAnsi="Tahoma" w:cs="Tahoma"/>
          <w:sz w:val="24"/>
          <w:szCs w:val="24"/>
          <w:lang w:val="en-US"/>
        </w:rPr>
      </w:pPr>
      <w:r w:rsidRPr="00B57F87">
        <w:rPr>
          <w:rFonts w:ascii="Tahoma" w:hAnsi="Tahoma" w:cs="Tahoma"/>
          <w:sz w:val="24"/>
          <w:szCs w:val="24"/>
          <w:lang w:val="en-US"/>
        </w:rPr>
        <w:t>T</w:t>
      </w:r>
      <w:r w:rsidR="00233E4F" w:rsidRPr="00B57F87">
        <w:rPr>
          <w:rFonts w:ascii="Tahoma" w:hAnsi="Tahoma" w:cs="Tahoma"/>
          <w:sz w:val="24"/>
          <w:szCs w:val="24"/>
          <w:lang w:val="en-US"/>
        </w:rPr>
        <w:t xml:space="preserve">he purpose of this article is to critically </w:t>
      </w:r>
      <w:proofErr w:type="spellStart"/>
      <w:r w:rsidR="00233E4F" w:rsidRPr="00B57F87">
        <w:rPr>
          <w:rFonts w:ascii="Tahoma" w:hAnsi="Tahoma" w:cs="Tahoma"/>
          <w:sz w:val="24"/>
          <w:szCs w:val="24"/>
          <w:lang w:val="en-US"/>
        </w:rPr>
        <w:t>analyse</w:t>
      </w:r>
      <w:proofErr w:type="spellEnd"/>
      <w:r w:rsidR="00233E4F" w:rsidRPr="00B57F87">
        <w:rPr>
          <w:rFonts w:ascii="Tahoma" w:hAnsi="Tahoma" w:cs="Tahoma"/>
          <w:sz w:val="24"/>
          <w:szCs w:val="24"/>
          <w:lang w:val="en-US"/>
        </w:rPr>
        <w:t xml:space="preserve"> the law relating to equal pay for work of equal value in terms of the EEA</w:t>
      </w:r>
      <w:r w:rsidR="007C3440" w:rsidRPr="00B57F87">
        <w:rPr>
          <w:rFonts w:ascii="Tahoma" w:hAnsi="Tahoma" w:cs="Tahoma"/>
          <w:sz w:val="24"/>
          <w:szCs w:val="24"/>
          <w:lang w:val="en-US"/>
        </w:rPr>
        <w:t xml:space="preserve"> (including the </w:t>
      </w:r>
      <w:r w:rsidR="00603D24" w:rsidRPr="00B57F87">
        <w:rPr>
          <w:rFonts w:ascii="Tahoma" w:hAnsi="Tahoma" w:cs="Tahoma"/>
          <w:sz w:val="24"/>
          <w:szCs w:val="24"/>
          <w:lang w:val="en-US"/>
        </w:rPr>
        <w:t xml:space="preserve">Employment Equity </w:t>
      </w:r>
      <w:r w:rsidR="007C3440" w:rsidRPr="00B57F87">
        <w:rPr>
          <w:rFonts w:ascii="Tahoma" w:hAnsi="Tahoma" w:cs="Tahoma"/>
          <w:sz w:val="24"/>
          <w:szCs w:val="24"/>
          <w:lang w:val="en-US"/>
        </w:rPr>
        <w:t>Regulations)</w:t>
      </w:r>
      <w:r w:rsidR="00233E4F" w:rsidRPr="00B57F87">
        <w:rPr>
          <w:rFonts w:ascii="Tahoma" w:hAnsi="Tahoma" w:cs="Tahoma"/>
          <w:sz w:val="24"/>
          <w:szCs w:val="24"/>
          <w:lang w:val="en-US"/>
        </w:rPr>
        <w:t xml:space="preserve"> and evaluate it against the equal pay laws of the ILO and the United Kingdom which deals with </w:t>
      </w:r>
      <w:r w:rsidR="00603D24" w:rsidRPr="00B57F87">
        <w:rPr>
          <w:rFonts w:ascii="Tahoma" w:hAnsi="Tahoma" w:cs="Tahoma"/>
          <w:sz w:val="24"/>
          <w:szCs w:val="24"/>
          <w:lang w:val="en-US"/>
        </w:rPr>
        <w:t xml:space="preserve">equal pay for </w:t>
      </w:r>
      <w:r w:rsidR="00233E4F" w:rsidRPr="00B57F87">
        <w:rPr>
          <w:rFonts w:ascii="Tahoma" w:hAnsi="Tahoma" w:cs="Tahoma"/>
          <w:sz w:val="24"/>
          <w:szCs w:val="24"/>
          <w:lang w:val="en-US"/>
        </w:rPr>
        <w:t xml:space="preserve">work of equal value. Lastly, this article seeks to ascertain whether the EEA </w:t>
      </w:r>
      <w:r w:rsidR="007C3440" w:rsidRPr="00B57F87">
        <w:rPr>
          <w:rFonts w:ascii="Tahoma" w:hAnsi="Tahoma" w:cs="Tahoma"/>
          <w:sz w:val="24"/>
          <w:szCs w:val="24"/>
          <w:lang w:val="en-US"/>
        </w:rPr>
        <w:t xml:space="preserve">(including the </w:t>
      </w:r>
      <w:r w:rsidR="00603D24" w:rsidRPr="00B57F87">
        <w:rPr>
          <w:rFonts w:ascii="Tahoma" w:hAnsi="Tahoma" w:cs="Tahoma"/>
          <w:sz w:val="24"/>
          <w:szCs w:val="24"/>
          <w:lang w:val="en-US"/>
        </w:rPr>
        <w:t xml:space="preserve">Employment Equity </w:t>
      </w:r>
      <w:r w:rsidR="007C3440" w:rsidRPr="00B57F87">
        <w:rPr>
          <w:rFonts w:ascii="Tahoma" w:hAnsi="Tahoma" w:cs="Tahoma"/>
          <w:sz w:val="24"/>
          <w:szCs w:val="24"/>
          <w:lang w:val="en-US"/>
        </w:rPr>
        <w:t xml:space="preserve">Regulations) </w:t>
      </w:r>
      <w:r w:rsidR="00233E4F" w:rsidRPr="00B57F87">
        <w:rPr>
          <w:rFonts w:ascii="Tahoma" w:hAnsi="Tahoma" w:cs="Tahoma"/>
          <w:sz w:val="24"/>
          <w:szCs w:val="24"/>
          <w:lang w:val="en-US"/>
        </w:rPr>
        <w:t>provides a</w:t>
      </w:r>
      <w:r w:rsidR="007C3440" w:rsidRPr="00B57F87">
        <w:rPr>
          <w:rFonts w:ascii="Tahoma" w:hAnsi="Tahoma" w:cs="Tahoma"/>
          <w:sz w:val="24"/>
          <w:szCs w:val="24"/>
          <w:lang w:val="en-US"/>
        </w:rPr>
        <w:t xml:space="preserve">n adequate </w:t>
      </w:r>
      <w:r w:rsidR="00233E4F" w:rsidRPr="00B57F87">
        <w:rPr>
          <w:rFonts w:ascii="Tahoma" w:hAnsi="Tahoma" w:cs="Tahoma"/>
          <w:sz w:val="24"/>
          <w:szCs w:val="24"/>
          <w:lang w:val="en-US"/>
        </w:rPr>
        <w:t xml:space="preserve">legal framework for determining an equal pay for work of equal value claim. </w:t>
      </w:r>
    </w:p>
    <w:p w:rsidR="00F91BA9" w:rsidRPr="00B57F87" w:rsidRDefault="00F91BA9" w:rsidP="00B57F87">
      <w:pPr>
        <w:spacing w:after="0" w:line="360" w:lineRule="auto"/>
        <w:rPr>
          <w:rFonts w:ascii="Tahoma" w:hAnsi="Tahoma" w:cs="Tahoma"/>
          <w:lang w:val="en-US"/>
        </w:rPr>
      </w:pPr>
    </w:p>
    <w:p w:rsidR="00F91BA9" w:rsidRPr="00B57F87" w:rsidRDefault="00F91BA9" w:rsidP="00B57F87">
      <w:pPr>
        <w:spacing w:after="0" w:line="360" w:lineRule="auto"/>
        <w:jc w:val="both"/>
        <w:rPr>
          <w:rFonts w:ascii="Tahoma" w:hAnsi="Tahoma" w:cs="Tahoma"/>
          <w:b/>
          <w:bCs/>
          <w:sz w:val="24"/>
          <w:szCs w:val="24"/>
          <w:lang w:val="en-US"/>
        </w:rPr>
      </w:pPr>
    </w:p>
    <w:p w:rsidR="004136F5" w:rsidRPr="00B57F87" w:rsidRDefault="00F91BA9" w:rsidP="00B57F87">
      <w:pPr>
        <w:spacing w:after="0" w:line="360" w:lineRule="auto"/>
        <w:jc w:val="both"/>
        <w:rPr>
          <w:rFonts w:ascii="Tahoma" w:hAnsi="Tahoma" w:cs="Tahoma"/>
          <w:sz w:val="24"/>
          <w:szCs w:val="24"/>
          <w:lang w:val="en-US"/>
        </w:rPr>
      </w:pPr>
      <w:r w:rsidRPr="00B57F87">
        <w:rPr>
          <w:rFonts w:ascii="Tahoma" w:hAnsi="Tahoma" w:cs="Tahoma"/>
          <w:b/>
          <w:bCs/>
          <w:sz w:val="24"/>
          <w:szCs w:val="24"/>
          <w:lang w:val="en-US"/>
        </w:rPr>
        <w:t>KEYWORDS</w:t>
      </w:r>
      <w:r w:rsidRPr="00B57F87">
        <w:rPr>
          <w:rFonts w:ascii="Tahoma" w:hAnsi="Tahoma" w:cs="Tahoma"/>
          <w:sz w:val="24"/>
          <w:szCs w:val="24"/>
          <w:lang w:val="en-US"/>
        </w:rPr>
        <w:t>:</w:t>
      </w:r>
      <w:r w:rsidRPr="00B57F87">
        <w:rPr>
          <w:rFonts w:ascii="Tahoma" w:hAnsi="Tahoma" w:cs="Tahoma"/>
          <w:b/>
          <w:bCs/>
          <w:sz w:val="24"/>
          <w:szCs w:val="24"/>
          <w:lang w:val="en-US"/>
        </w:rPr>
        <w:t xml:space="preserve"> </w:t>
      </w:r>
      <w:r w:rsidRPr="00B57F87">
        <w:rPr>
          <w:rFonts w:ascii="Tahoma" w:hAnsi="Tahoma" w:cs="Tahoma"/>
          <w:sz w:val="24"/>
          <w:szCs w:val="24"/>
          <w:lang w:val="en-US"/>
        </w:rPr>
        <w:t xml:space="preserve">Equal pay, Employment Equity Act, Equality Act, International </w:t>
      </w:r>
      <w:proofErr w:type="spellStart"/>
      <w:r w:rsidRPr="00B57F87">
        <w:rPr>
          <w:rFonts w:ascii="Tahoma" w:hAnsi="Tahoma" w:cs="Tahoma"/>
          <w:sz w:val="24"/>
          <w:szCs w:val="24"/>
          <w:lang w:val="en-US"/>
        </w:rPr>
        <w:t>Labour</w:t>
      </w:r>
      <w:proofErr w:type="spellEnd"/>
      <w:r w:rsidRPr="00B57F87">
        <w:rPr>
          <w:rFonts w:ascii="Tahoma" w:hAnsi="Tahoma" w:cs="Tahoma"/>
          <w:sz w:val="24"/>
          <w:szCs w:val="24"/>
          <w:lang w:val="en-US"/>
        </w:rPr>
        <w:t xml:space="preserve"> </w:t>
      </w:r>
      <w:proofErr w:type="spellStart"/>
      <w:r w:rsidRPr="00B57F87">
        <w:rPr>
          <w:rFonts w:ascii="Tahoma" w:hAnsi="Tahoma" w:cs="Tahoma"/>
          <w:sz w:val="24"/>
          <w:szCs w:val="24"/>
          <w:lang w:val="en-US"/>
        </w:rPr>
        <w:t>Organisa</w:t>
      </w:r>
      <w:r w:rsidR="0067293A" w:rsidRPr="00B57F87">
        <w:rPr>
          <w:rFonts w:ascii="Tahoma" w:hAnsi="Tahoma" w:cs="Tahoma"/>
          <w:sz w:val="24"/>
          <w:szCs w:val="24"/>
          <w:lang w:val="en-US"/>
        </w:rPr>
        <w:t>tion</w:t>
      </w:r>
      <w:proofErr w:type="spellEnd"/>
      <w:r w:rsidR="0067293A" w:rsidRPr="00B57F87">
        <w:rPr>
          <w:rFonts w:ascii="Tahoma" w:hAnsi="Tahoma" w:cs="Tahoma"/>
          <w:sz w:val="24"/>
          <w:szCs w:val="24"/>
          <w:lang w:val="en-US"/>
        </w:rPr>
        <w:t>, Equal Pay Guide, Equal Remuneration</w:t>
      </w:r>
      <w:r w:rsidRPr="00B57F87">
        <w:rPr>
          <w:rFonts w:ascii="Tahoma" w:hAnsi="Tahoma" w:cs="Tahoma"/>
          <w:sz w:val="24"/>
          <w:szCs w:val="24"/>
          <w:lang w:val="en-US"/>
        </w:rPr>
        <w:t xml:space="preserve"> Convention, </w:t>
      </w:r>
      <w:r w:rsidR="00603D24" w:rsidRPr="00B57F87">
        <w:rPr>
          <w:rFonts w:ascii="Tahoma" w:hAnsi="Tahoma" w:cs="Tahoma"/>
          <w:sz w:val="24"/>
          <w:szCs w:val="24"/>
          <w:lang w:val="en-US"/>
        </w:rPr>
        <w:t>Equal pay for work of equal value.</w:t>
      </w:r>
    </w:p>
    <w:sectPr w:rsidR="004136F5" w:rsidRPr="00B57F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F7" w:rsidRDefault="004F52F7" w:rsidP="00233E4F">
      <w:pPr>
        <w:spacing w:after="0" w:line="240" w:lineRule="auto"/>
      </w:pPr>
      <w:r>
        <w:separator/>
      </w:r>
    </w:p>
  </w:endnote>
  <w:endnote w:type="continuationSeparator" w:id="0">
    <w:p w:rsidR="004F52F7" w:rsidRDefault="004F52F7" w:rsidP="0023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82602"/>
      <w:docPartObj>
        <w:docPartGallery w:val="Page Numbers (Bottom of Page)"/>
        <w:docPartUnique/>
      </w:docPartObj>
    </w:sdtPr>
    <w:sdtEndPr>
      <w:rPr>
        <w:noProof/>
      </w:rPr>
    </w:sdtEndPr>
    <w:sdtContent>
      <w:p w:rsidR="0067293A" w:rsidRDefault="0067293A">
        <w:pPr>
          <w:pStyle w:val="Footer"/>
          <w:jc w:val="center"/>
        </w:pPr>
        <w:r>
          <w:fldChar w:fldCharType="begin"/>
        </w:r>
        <w:r>
          <w:instrText xml:space="preserve"> PAGE   \* MERGEFORMAT </w:instrText>
        </w:r>
        <w:r>
          <w:fldChar w:fldCharType="separate"/>
        </w:r>
        <w:r w:rsidR="007E5957">
          <w:rPr>
            <w:noProof/>
          </w:rPr>
          <w:t>1</w:t>
        </w:r>
        <w:r>
          <w:rPr>
            <w:noProof/>
          </w:rPr>
          <w:fldChar w:fldCharType="end"/>
        </w:r>
      </w:p>
    </w:sdtContent>
  </w:sdt>
  <w:p w:rsidR="0067293A" w:rsidRDefault="0067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F7" w:rsidRDefault="004F52F7" w:rsidP="00233E4F">
      <w:pPr>
        <w:spacing w:after="0" w:line="240" w:lineRule="auto"/>
      </w:pPr>
      <w:r>
        <w:separator/>
      </w:r>
    </w:p>
  </w:footnote>
  <w:footnote w:type="continuationSeparator" w:id="0">
    <w:p w:rsidR="004F52F7" w:rsidRDefault="004F52F7" w:rsidP="00233E4F">
      <w:pPr>
        <w:spacing w:after="0" w:line="240" w:lineRule="auto"/>
      </w:pPr>
      <w:r>
        <w:continuationSeparator/>
      </w:r>
    </w:p>
  </w:footnote>
  <w:footnote w:id="1">
    <w:p w:rsidR="00233E4F" w:rsidRPr="00B57F87" w:rsidRDefault="00233E4F" w:rsidP="007E5957">
      <w:pPr>
        <w:pStyle w:val="FootnoteText"/>
        <w:tabs>
          <w:tab w:val="left" w:pos="284"/>
          <w:tab w:val="left" w:pos="426"/>
        </w:tabs>
        <w:ind w:left="420" w:hanging="420"/>
        <w:jc w:val="both"/>
        <w:rPr>
          <w:rFonts w:ascii="Tahoma" w:hAnsi="Tahoma" w:cs="Tahoma"/>
          <w:lang w:val="en-US"/>
        </w:rPr>
      </w:pPr>
      <w:r w:rsidRPr="006E5CA5">
        <w:rPr>
          <w:rStyle w:val="FootnoteReference"/>
          <w:rFonts w:asciiTheme="minorBidi" w:hAnsiTheme="minorBidi"/>
        </w:rPr>
        <w:sym w:font="Symbol" w:char="F02A"/>
      </w:r>
      <w:r w:rsidRPr="006E5CA5">
        <w:rPr>
          <w:rFonts w:asciiTheme="minorBidi" w:hAnsiTheme="minorBidi"/>
        </w:rPr>
        <w:t xml:space="preserve"> </w:t>
      </w:r>
      <w:r w:rsidRPr="006E5CA5">
        <w:rPr>
          <w:rFonts w:asciiTheme="minorBidi" w:hAnsiTheme="minorBidi"/>
        </w:rPr>
        <w:tab/>
      </w:r>
      <w:r w:rsidRPr="00B57F87">
        <w:rPr>
          <w:rFonts w:ascii="Tahoma" w:hAnsi="Tahoma" w:cs="Tahoma"/>
        </w:rPr>
        <w:tab/>
        <w:t>This article is based on the author’s unpublished LLM short dissertation titled:</w:t>
      </w:r>
      <w:r w:rsidR="007E5957">
        <w:rPr>
          <w:rFonts w:ascii="Tahoma" w:hAnsi="Tahoma" w:cs="Tahoma"/>
        </w:rPr>
        <w:t xml:space="preserve"> This article is furthermore</w:t>
      </w:r>
      <w:r w:rsidRPr="00B57F87">
        <w:rPr>
          <w:rFonts w:ascii="Tahoma" w:hAnsi="Tahoma" w:cs="Tahoma"/>
        </w:rPr>
        <w:t xml:space="preserve"> partly based on a paper delivered at the South African Society for Labour Law (SASLAW) Second Annual Student Conference, </w:t>
      </w:r>
      <w:proofErr w:type="spellStart"/>
      <w:r w:rsidRPr="00B57F87">
        <w:rPr>
          <w:rFonts w:ascii="Tahoma" w:hAnsi="Tahoma" w:cs="Tahoma"/>
        </w:rPr>
        <w:t>Chalsty</w:t>
      </w:r>
      <w:proofErr w:type="spellEnd"/>
      <w:r w:rsidRPr="00B57F87">
        <w:rPr>
          <w:rFonts w:ascii="Tahoma" w:hAnsi="Tahoma" w:cs="Tahoma"/>
        </w:rPr>
        <w:t xml:space="preserve"> Auditorium, University of the Witwatersrand, Johannesburg, </w:t>
      </w:r>
      <w:proofErr w:type="gramStart"/>
      <w:r w:rsidRPr="00B57F87">
        <w:rPr>
          <w:rFonts w:ascii="Tahoma" w:hAnsi="Tahoma" w:cs="Tahoma"/>
        </w:rPr>
        <w:t>29</w:t>
      </w:r>
      <w:proofErr w:type="gramEnd"/>
      <w:r w:rsidRPr="00B57F87">
        <w:rPr>
          <w:rFonts w:ascii="Tahoma" w:hAnsi="Tahoma" w:cs="Tahoma"/>
        </w:rPr>
        <w:t xml:space="preserve"> August 2015. </w:t>
      </w:r>
    </w:p>
  </w:footnote>
  <w:footnote w:id="2">
    <w:p w:rsidR="00233E4F" w:rsidRPr="00B57F87" w:rsidRDefault="00233E4F" w:rsidP="007E5957">
      <w:pPr>
        <w:pStyle w:val="FootnoteText"/>
        <w:tabs>
          <w:tab w:val="left" w:pos="426"/>
        </w:tabs>
        <w:ind w:left="420" w:hanging="420"/>
        <w:jc w:val="both"/>
        <w:rPr>
          <w:rFonts w:ascii="Tahoma" w:hAnsi="Tahoma" w:cs="Tahoma"/>
        </w:rPr>
      </w:pPr>
      <w:r w:rsidRPr="00B57F87">
        <w:rPr>
          <w:rStyle w:val="FootnoteReference"/>
          <w:rFonts w:ascii="Tahoma" w:hAnsi="Tahoma" w:cs="Tahoma"/>
        </w:rPr>
        <w:sym w:font="Symbol" w:char="F02A"/>
      </w:r>
      <w:r w:rsidRPr="00B57F87">
        <w:rPr>
          <w:rStyle w:val="FootnoteReference"/>
          <w:rFonts w:ascii="Tahoma" w:hAnsi="Tahoma" w:cs="Tahoma"/>
        </w:rPr>
        <w:sym w:font="Symbol" w:char="F02A"/>
      </w:r>
      <w:r w:rsidRPr="00B57F87">
        <w:rPr>
          <w:rFonts w:ascii="Tahoma" w:hAnsi="Tahoma" w:cs="Tahoma"/>
        </w:rPr>
        <w:t xml:space="preserve"> </w:t>
      </w:r>
      <w:r w:rsidRPr="00B57F87">
        <w:rPr>
          <w:rFonts w:ascii="Tahoma" w:hAnsi="Tahoma" w:cs="Tahoma"/>
        </w:rPr>
        <w:tab/>
      </w:r>
    </w:p>
  </w:footnote>
  <w:footnote w:id="3">
    <w:p w:rsidR="00603D24" w:rsidRPr="00B57F87" w:rsidRDefault="00603D24" w:rsidP="00603D24">
      <w:pPr>
        <w:pStyle w:val="FootnoteText"/>
        <w:jc w:val="both"/>
        <w:rPr>
          <w:rFonts w:ascii="Tahoma" w:hAnsi="Tahoma" w:cs="Tahoma"/>
        </w:rPr>
      </w:pPr>
      <w:r w:rsidRPr="00B57F87">
        <w:rPr>
          <w:rStyle w:val="FootnoteReference"/>
          <w:rFonts w:ascii="Tahoma" w:hAnsi="Tahoma" w:cs="Tahoma"/>
        </w:rPr>
        <w:footnoteRef/>
      </w:r>
      <w:r w:rsidRPr="00B57F87">
        <w:rPr>
          <w:rFonts w:ascii="Tahoma" w:hAnsi="Tahoma" w:cs="Tahoma"/>
        </w:rPr>
        <w:t xml:space="preserve">      </w:t>
      </w:r>
      <w:proofErr w:type="gramStart"/>
      <w:r w:rsidRPr="00B57F87">
        <w:rPr>
          <w:rFonts w:ascii="Tahoma" w:hAnsi="Tahoma" w:cs="Tahoma"/>
        </w:rPr>
        <w:t>“ILO”.</w:t>
      </w:r>
      <w:proofErr w:type="gramEnd"/>
      <w:r w:rsidRPr="00B57F87">
        <w:rPr>
          <w:rFonts w:ascii="Tahoma" w:hAnsi="Tahoma" w:cs="Tahoma"/>
        </w:rPr>
        <w:t xml:space="preserve"> </w:t>
      </w:r>
      <w:r w:rsidRPr="00B57F87">
        <w:rPr>
          <w:rFonts w:ascii="Tahoma" w:hAnsi="Tahoma" w:cs="Tahoma"/>
        </w:rPr>
        <w:tab/>
      </w:r>
    </w:p>
  </w:footnote>
  <w:footnote w:id="4">
    <w:p w:rsidR="00233E4F" w:rsidRPr="00B57F87" w:rsidRDefault="00233E4F" w:rsidP="006715A5">
      <w:pPr>
        <w:pStyle w:val="FootnoteText"/>
        <w:tabs>
          <w:tab w:val="left" w:pos="426"/>
        </w:tabs>
        <w:ind w:left="426" w:hanging="426"/>
        <w:jc w:val="both"/>
        <w:rPr>
          <w:rFonts w:ascii="Tahoma" w:hAnsi="Tahoma" w:cs="Tahoma"/>
          <w:lang w:val="en-US"/>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rPr>
        <w:tab/>
      </w:r>
      <w:proofErr w:type="spellStart"/>
      <w:proofErr w:type="gramStart"/>
      <w:r w:rsidR="006715A5">
        <w:rPr>
          <w:rFonts w:ascii="Tahoma" w:hAnsi="Tahoma" w:cs="Tahoma"/>
        </w:rPr>
        <w:t>Oelz</w:t>
      </w:r>
      <w:proofErr w:type="spellEnd"/>
      <w:r w:rsidR="006715A5">
        <w:rPr>
          <w:rFonts w:ascii="Tahoma" w:hAnsi="Tahoma" w:cs="Tahoma"/>
        </w:rPr>
        <w:t xml:space="preserve">, </w:t>
      </w:r>
      <w:r w:rsidRPr="00B57F87">
        <w:rPr>
          <w:rFonts w:ascii="Tahoma" w:hAnsi="Tahoma" w:cs="Tahoma"/>
        </w:rPr>
        <w:t xml:space="preserve">Olney and Manuel </w:t>
      </w:r>
      <w:r w:rsidRPr="00B57F87">
        <w:rPr>
          <w:rFonts w:ascii="Tahoma" w:hAnsi="Tahoma" w:cs="Tahoma"/>
          <w:i/>
          <w:iCs/>
        </w:rPr>
        <w:t>Equal Pay Guide</w:t>
      </w:r>
      <w:r w:rsidRPr="00B57F87">
        <w:rPr>
          <w:rFonts w:ascii="Tahoma" w:hAnsi="Tahoma" w:cs="Tahoma"/>
          <w:lang w:val="en-US"/>
        </w:rPr>
        <w:t xml:space="preserve"> </w:t>
      </w:r>
      <w:r w:rsidR="006715A5" w:rsidRPr="00B57F87">
        <w:rPr>
          <w:rFonts w:ascii="Tahoma" w:hAnsi="Tahoma" w:cs="Tahoma"/>
          <w:lang w:val="en-US"/>
        </w:rPr>
        <w:t>iii</w:t>
      </w:r>
      <w:r w:rsidR="006715A5">
        <w:rPr>
          <w:rFonts w:ascii="Tahoma" w:hAnsi="Tahoma" w:cs="Tahoma"/>
          <w:lang w:val="en-US"/>
        </w:rPr>
        <w:t>.</w:t>
      </w:r>
      <w:proofErr w:type="gramEnd"/>
      <w:r w:rsidR="006715A5">
        <w:rPr>
          <w:rFonts w:ascii="Tahoma" w:hAnsi="Tahoma" w:cs="Tahoma"/>
          <w:lang w:val="en-US"/>
        </w:rPr>
        <w:t xml:space="preserve"> </w:t>
      </w:r>
    </w:p>
  </w:footnote>
  <w:footnote w:id="5">
    <w:p w:rsidR="00233E4F" w:rsidRPr="00B57F87" w:rsidRDefault="00233E4F" w:rsidP="00233E4F">
      <w:pPr>
        <w:pStyle w:val="FootnoteText"/>
        <w:tabs>
          <w:tab w:val="left" w:pos="426"/>
        </w:tabs>
        <w:ind w:left="426" w:hanging="426"/>
        <w:jc w:val="both"/>
        <w:rPr>
          <w:rFonts w:ascii="Tahoma" w:hAnsi="Tahoma" w:cs="Tahoma"/>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rPr>
        <w:tab/>
      </w:r>
      <w:proofErr w:type="gramStart"/>
      <w:r w:rsidRPr="00B57F87">
        <w:rPr>
          <w:rFonts w:ascii="Tahoma" w:hAnsi="Tahoma" w:cs="Tahoma"/>
        </w:rPr>
        <w:t>55 of 1998 (“EEA”).</w:t>
      </w:r>
      <w:proofErr w:type="gramEnd"/>
      <w:r w:rsidRPr="00B57F87">
        <w:rPr>
          <w:rFonts w:ascii="Tahoma" w:hAnsi="Tahoma" w:cs="Tahoma"/>
        </w:rPr>
        <w:t xml:space="preserve"> The amendments were made in terms of the Employment Equity Amendment Act 47 of 2013. </w:t>
      </w:r>
    </w:p>
  </w:footnote>
  <w:footnote w:id="6">
    <w:p w:rsidR="00233E4F" w:rsidRPr="00B57F87" w:rsidRDefault="00233E4F" w:rsidP="00233E4F">
      <w:pPr>
        <w:pStyle w:val="FootnoteText"/>
        <w:tabs>
          <w:tab w:val="left" w:pos="426"/>
        </w:tabs>
        <w:ind w:left="426" w:hanging="426"/>
        <w:jc w:val="both"/>
        <w:rPr>
          <w:rFonts w:ascii="Tahoma" w:hAnsi="Tahoma" w:cs="Tahoma"/>
          <w:lang w:val="en-US"/>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rPr>
        <w:tab/>
        <w:t xml:space="preserve">Proclamation No 50 on the Commencement of the </w:t>
      </w:r>
      <w:r w:rsidRPr="006715A5">
        <w:rPr>
          <w:rFonts w:ascii="Tahoma" w:hAnsi="Tahoma" w:cs="Tahoma"/>
          <w:i/>
          <w:iCs/>
        </w:rPr>
        <w:t>Employment Equity Amendment Act</w:t>
      </w:r>
      <w:r w:rsidRPr="00B57F87">
        <w:rPr>
          <w:rFonts w:ascii="Tahoma" w:hAnsi="Tahoma" w:cs="Tahoma"/>
        </w:rPr>
        <w:t xml:space="preserve">, 2013 </w:t>
      </w:r>
      <w:r w:rsidRPr="00B57F87">
        <w:rPr>
          <w:rFonts w:ascii="Tahoma" w:hAnsi="Tahoma" w:cs="Tahoma"/>
          <w:i/>
          <w:iCs/>
          <w:lang w:val="en-US"/>
        </w:rPr>
        <w:t xml:space="preserve">GG </w:t>
      </w:r>
      <w:r w:rsidRPr="00B57F87">
        <w:rPr>
          <w:rFonts w:ascii="Tahoma" w:hAnsi="Tahoma" w:cs="Tahoma"/>
          <w:lang w:val="en-US"/>
        </w:rPr>
        <w:t xml:space="preserve">No 37871 of 21 July 2014. </w:t>
      </w:r>
    </w:p>
  </w:footnote>
  <w:footnote w:id="7">
    <w:p w:rsidR="00233E4F" w:rsidRPr="00B57F87" w:rsidRDefault="00233E4F" w:rsidP="006715A5">
      <w:pPr>
        <w:pStyle w:val="FootnoteText"/>
        <w:ind w:left="426" w:hanging="426"/>
        <w:jc w:val="both"/>
        <w:rPr>
          <w:rFonts w:ascii="Tahoma" w:hAnsi="Tahoma" w:cs="Tahoma"/>
          <w:lang w:val="en-US"/>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lang w:val="en-US"/>
        </w:rPr>
        <w:tab/>
      </w:r>
      <w:proofErr w:type="gramStart"/>
      <w:r w:rsidRPr="00B57F87">
        <w:rPr>
          <w:rFonts w:ascii="Tahoma" w:hAnsi="Tahoma" w:cs="Tahoma"/>
          <w:lang w:val="en-US"/>
        </w:rPr>
        <w:t xml:space="preserve">Commission for Employment Equity in respect of opportunity and treatment in employment Annual Report 2009–2010 at 3; Clause 3.3.3 of the Memorandum on Objects of Employment Equity Amendment Bill, </w:t>
      </w:r>
      <w:r w:rsidRPr="00B57F87">
        <w:rPr>
          <w:rFonts w:ascii="Tahoma" w:hAnsi="Tahoma" w:cs="Tahoma"/>
          <w:i/>
          <w:iCs/>
          <w:lang w:val="en-US"/>
        </w:rPr>
        <w:t>GG</w:t>
      </w:r>
      <w:r w:rsidRPr="00B57F87">
        <w:rPr>
          <w:rFonts w:ascii="Tahoma" w:hAnsi="Tahoma" w:cs="Tahoma"/>
          <w:lang w:val="en-US"/>
        </w:rPr>
        <w:t xml:space="preserve"> No 35799 of 19 October 2012; McGregor </w:t>
      </w:r>
      <w:r w:rsidR="006715A5">
        <w:rPr>
          <w:rFonts w:ascii="Tahoma" w:hAnsi="Tahoma" w:cs="Tahoma"/>
          <w:lang w:val="en-US"/>
        </w:rPr>
        <w:t xml:space="preserve">2011 </w:t>
      </w:r>
      <w:r w:rsidRPr="00B57F87">
        <w:rPr>
          <w:rFonts w:ascii="Tahoma" w:hAnsi="Tahoma" w:cs="Tahoma"/>
          <w:i/>
          <w:iCs/>
          <w:lang w:val="en-US"/>
        </w:rPr>
        <w:t>SA Merc LJ</w:t>
      </w:r>
      <w:r w:rsidRPr="00B57F87">
        <w:rPr>
          <w:rFonts w:ascii="Tahoma" w:hAnsi="Tahoma" w:cs="Tahoma"/>
          <w:lang w:val="en-US"/>
        </w:rPr>
        <w:t xml:space="preserve"> 497;</w:t>
      </w:r>
      <w:r w:rsidRPr="00B57F87">
        <w:rPr>
          <w:rFonts w:ascii="Tahoma" w:hAnsi="Tahoma" w:cs="Tahoma"/>
          <w:sz w:val="22"/>
          <w:szCs w:val="22"/>
          <w:lang w:val="en-US" w:bidi="ar-SA"/>
        </w:rPr>
        <w:t xml:space="preserve"> </w:t>
      </w:r>
      <w:r w:rsidRPr="00B57F87">
        <w:rPr>
          <w:rFonts w:ascii="Tahoma" w:hAnsi="Tahoma" w:cs="Tahoma"/>
          <w:lang w:val="en-US"/>
        </w:rPr>
        <w:t xml:space="preserve">Benjamin </w:t>
      </w:r>
      <w:r w:rsidR="006715A5">
        <w:rPr>
          <w:rFonts w:ascii="Tahoma" w:hAnsi="Tahoma" w:cs="Tahoma"/>
          <w:lang w:val="en-US"/>
        </w:rPr>
        <w:t xml:space="preserve">2010 </w:t>
      </w:r>
      <w:r w:rsidRPr="00B57F87">
        <w:rPr>
          <w:rFonts w:ascii="Tahoma" w:hAnsi="Tahoma" w:cs="Tahoma"/>
          <w:i/>
          <w:iCs/>
          <w:lang w:val="en-US"/>
        </w:rPr>
        <w:t>ILJ</w:t>
      </w:r>
      <w:r w:rsidR="006715A5">
        <w:rPr>
          <w:rFonts w:ascii="Tahoma" w:hAnsi="Tahoma" w:cs="Tahoma"/>
          <w:lang w:val="en-US"/>
        </w:rPr>
        <w:t xml:space="preserve"> </w:t>
      </w:r>
      <w:r w:rsidRPr="00B57F87">
        <w:rPr>
          <w:rFonts w:ascii="Tahoma" w:hAnsi="Tahoma" w:cs="Tahoma"/>
          <w:lang w:val="en-US"/>
        </w:rPr>
        <w:t>866.</w:t>
      </w:r>
      <w:bookmarkStart w:id="0" w:name="_GoBack"/>
      <w:bookmarkEnd w:id="0"/>
      <w:proofErr w:type="gramEnd"/>
    </w:p>
  </w:footnote>
  <w:footnote w:id="8">
    <w:p w:rsidR="00233E4F" w:rsidRPr="00B57F87" w:rsidRDefault="00233E4F" w:rsidP="00233E4F">
      <w:pPr>
        <w:pStyle w:val="FootnoteText"/>
        <w:tabs>
          <w:tab w:val="left" w:pos="426"/>
        </w:tabs>
        <w:jc w:val="both"/>
        <w:rPr>
          <w:rFonts w:ascii="Tahoma" w:hAnsi="Tahoma" w:cs="Tahoma"/>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rPr>
        <w:tab/>
      </w:r>
      <w:proofErr w:type="spellStart"/>
      <w:proofErr w:type="gramStart"/>
      <w:r w:rsidRPr="00B57F87">
        <w:rPr>
          <w:rFonts w:ascii="Tahoma" w:hAnsi="Tahoma" w:cs="Tahoma"/>
          <w:lang w:val="en-US"/>
        </w:rPr>
        <w:t>Oelz</w:t>
      </w:r>
      <w:proofErr w:type="spellEnd"/>
      <w:r w:rsidRPr="00B57F87">
        <w:rPr>
          <w:rFonts w:ascii="Tahoma" w:hAnsi="Tahoma" w:cs="Tahoma"/>
          <w:lang w:val="en-US"/>
        </w:rPr>
        <w:t xml:space="preserve">, Olney and Manuel </w:t>
      </w:r>
      <w:r w:rsidRPr="00B57F87">
        <w:rPr>
          <w:rFonts w:ascii="Tahoma" w:hAnsi="Tahoma" w:cs="Tahoma"/>
          <w:i/>
          <w:iCs/>
          <w:lang w:val="en-US"/>
        </w:rPr>
        <w:t>Equal Pay Guide</w:t>
      </w:r>
      <w:r w:rsidR="006715A5">
        <w:rPr>
          <w:rFonts w:ascii="Tahoma" w:hAnsi="Tahoma" w:cs="Tahoma"/>
          <w:lang w:val="en-US"/>
        </w:rPr>
        <w:t xml:space="preserve"> </w:t>
      </w:r>
      <w:r w:rsidRPr="00B57F87">
        <w:rPr>
          <w:rFonts w:ascii="Tahoma" w:hAnsi="Tahoma" w:cs="Tahoma"/>
          <w:lang w:val="en-US"/>
        </w:rPr>
        <w:t>iii.</w:t>
      </w:r>
      <w:proofErr w:type="gramEnd"/>
    </w:p>
  </w:footnote>
  <w:footnote w:id="9">
    <w:p w:rsidR="00233E4F" w:rsidRPr="00B57F87" w:rsidRDefault="00233E4F" w:rsidP="00603D24">
      <w:pPr>
        <w:pStyle w:val="FootnoteText"/>
        <w:tabs>
          <w:tab w:val="left" w:pos="426"/>
        </w:tabs>
        <w:jc w:val="both"/>
        <w:rPr>
          <w:rFonts w:ascii="Tahoma" w:hAnsi="Tahoma" w:cs="Tahoma"/>
        </w:rPr>
      </w:pPr>
      <w:r w:rsidRPr="00B57F87">
        <w:rPr>
          <w:rStyle w:val="FootnoteReference"/>
          <w:rFonts w:ascii="Tahoma" w:hAnsi="Tahoma" w:cs="Tahoma"/>
        </w:rPr>
        <w:footnoteRef/>
      </w:r>
      <w:r w:rsidRPr="00B57F87">
        <w:rPr>
          <w:rFonts w:ascii="Tahoma" w:hAnsi="Tahoma" w:cs="Tahoma"/>
        </w:rPr>
        <w:t xml:space="preserve"> </w:t>
      </w:r>
      <w:r w:rsidRPr="00B57F87">
        <w:rPr>
          <w:rFonts w:ascii="Tahoma" w:hAnsi="Tahoma" w:cs="Tahoma"/>
        </w:rPr>
        <w:tab/>
      </w:r>
      <w:proofErr w:type="gramStart"/>
      <w:r w:rsidR="00603D24" w:rsidRPr="00B57F87">
        <w:rPr>
          <w:rFonts w:ascii="Tahoma" w:hAnsi="Tahoma" w:cs="Tahoma"/>
          <w:lang w:val="en-US"/>
        </w:rPr>
        <w:t>[2009] 12 BLLR 1224 (LC).</w:t>
      </w:r>
      <w:proofErr w:type="gramEnd"/>
      <w:r w:rsidR="00603D24" w:rsidRPr="00B57F87">
        <w:rPr>
          <w:rFonts w:ascii="Tahoma" w:hAnsi="Tahoma" w:cs="Tahoma"/>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4F"/>
    <w:rsid w:val="00142449"/>
    <w:rsid w:val="002073F7"/>
    <w:rsid w:val="00233E4F"/>
    <w:rsid w:val="003954DB"/>
    <w:rsid w:val="003C69FB"/>
    <w:rsid w:val="003D55D0"/>
    <w:rsid w:val="004F52F7"/>
    <w:rsid w:val="00603D24"/>
    <w:rsid w:val="006715A5"/>
    <w:rsid w:val="0067293A"/>
    <w:rsid w:val="00700570"/>
    <w:rsid w:val="007C3440"/>
    <w:rsid w:val="007E5957"/>
    <w:rsid w:val="00903DCA"/>
    <w:rsid w:val="00963F5E"/>
    <w:rsid w:val="009773FB"/>
    <w:rsid w:val="00B57F87"/>
    <w:rsid w:val="00C47018"/>
    <w:rsid w:val="00EA0FFB"/>
    <w:rsid w:val="00F0734C"/>
    <w:rsid w:val="00F91BA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E4F"/>
    <w:pPr>
      <w:spacing w:after="0" w:line="240" w:lineRule="auto"/>
    </w:pPr>
    <w:rPr>
      <w:sz w:val="20"/>
      <w:szCs w:val="20"/>
    </w:rPr>
  </w:style>
  <w:style w:type="character" w:customStyle="1" w:styleId="FootnoteTextChar">
    <w:name w:val="Footnote Text Char"/>
    <w:basedOn w:val="DefaultParagraphFont"/>
    <w:link w:val="FootnoteText"/>
    <w:uiPriority w:val="99"/>
    <w:rsid w:val="00233E4F"/>
    <w:rPr>
      <w:sz w:val="20"/>
      <w:szCs w:val="20"/>
    </w:rPr>
  </w:style>
  <w:style w:type="character" w:styleId="FootnoteReference">
    <w:name w:val="footnote reference"/>
    <w:basedOn w:val="DefaultParagraphFont"/>
    <w:uiPriority w:val="99"/>
    <w:semiHidden/>
    <w:unhideWhenUsed/>
    <w:rsid w:val="00233E4F"/>
    <w:rPr>
      <w:vertAlign w:val="superscript"/>
    </w:rPr>
  </w:style>
  <w:style w:type="paragraph" w:styleId="Header">
    <w:name w:val="header"/>
    <w:basedOn w:val="Normal"/>
    <w:link w:val="HeaderChar"/>
    <w:uiPriority w:val="99"/>
    <w:unhideWhenUsed/>
    <w:rsid w:val="0067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3A"/>
  </w:style>
  <w:style w:type="paragraph" w:styleId="Footer">
    <w:name w:val="footer"/>
    <w:basedOn w:val="Normal"/>
    <w:link w:val="FooterChar"/>
    <w:uiPriority w:val="99"/>
    <w:unhideWhenUsed/>
    <w:rsid w:val="0067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E4F"/>
    <w:pPr>
      <w:spacing w:after="0" w:line="240" w:lineRule="auto"/>
    </w:pPr>
    <w:rPr>
      <w:sz w:val="20"/>
      <w:szCs w:val="20"/>
    </w:rPr>
  </w:style>
  <w:style w:type="character" w:customStyle="1" w:styleId="FootnoteTextChar">
    <w:name w:val="Footnote Text Char"/>
    <w:basedOn w:val="DefaultParagraphFont"/>
    <w:link w:val="FootnoteText"/>
    <w:uiPriority w:val="99"/>
    <w:rsid w:val="00233E4F"/>
    <w:rPr>
      <w:sz w:val="20"/>
      <w:szCs w:val="20"/>
    </w:rPr>
  </w:style>
  <w:style w:type="character" w:styleId="FootnoteReference">
    <w:name w:val="footnote reference"/>
    <w:basedOn w:val="DefaultParagraphFont"/>
    <w:uiPriority w:val="99"/>
    <w:semiHidden/>
    <w:unhideWhenUsed/>
    <w:rsid w:val="00233E4F"/>
    <w:rPr>
      <w:vertAlign w:val="superscript"/>
    </w:rPr>
  </w:style>
  <w:style w:type="paragraph" w:styleId="Header">
    <w:name w:val="header"/>
    <w:basedOn w:val="Normal"/>
    <w:link w:val="HeaderChar"/>
    <w:uiPriority w:val="99"/>
    <w:unhideWhenUsed/>
    <w:rsid w:val="0067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3A"/>
  </w:style>
  <w:style w:type="paragraph" w:styleId="Footer">
    <w:name w:val="footer"/>
    <w:basedOn w:val="Normal"/>
    <w:link w:val="FooterChar"/>
    <w:uiPriority w:val="99"/>
    <w:unhideWhenUsed/>
    <w:rsid w:val="0067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075D-5E16-4E0D-9878-45BA14C5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 Shamier</dc:creator>
  <cp:lastModifiedBy>Ebrahim, Shamier</cp:lastModifiedBy>
  <cp:revision>4</cp:revision>
  <cp:lastPrinted>2016-01-05T07:28:00Z</cp:lastPrinted>
  <dcterms:created xsi:type="dcterms:W3CDTF">2016-05-06T09:25:00Z</dcterms:created>
  <dcterms:modified xsi:type="dcterms:W3CDTF">2016-05-06T09:31:00Z</dcterms:modified>
</cp:coreProperties>
</file>